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6B" w:rsidRDefault="00082553">
      <w:pPr>
        <w:pStyle w:val="Heading1"/>
        <w:spacing w:before="39"/>
        <w:ind w:left="2080"/>
      </w:pPr>
      <w:bookmarkStart w:id="0" w:name="_GoBack"/>
      <w:bookmarkEnd w:id="0"/>
      <w:r>
        <w:t>PORT OF HOOD RIVER</w:t>
      </w:r>
    </w:p>
    <w:p w:rsidR="00DA116B" w:rsidRDefault="00DA116B">
      <w:pPr>
        <w:pStyle w:val="BodyText"/>
        <w:rPr>
          <w:b/>
          <w:sz w:val="20"/>
        </w:rPr>
      </w:pPr>
    </w:p>
    <w:p w:rsidR="00DA116B" w:rsidRDefault="00082553">
      <w:pPr>
        <w:ind w:left="2078" w:right="1902"/>
        <w:jc w:val="center"/>
        <w:rPr>
          <w:b/>
          <w:sz w:val="24"/>
        </w:rPr>
      </w:pPr>
      <w:r>
        <w:rPr>
          <w:b/>
          <w:sz w:val="24"/>
        </w:rPr>
        <w:t>Resolution No. 2016-17-2</w:t>
      </w:r>
    </w:p>
    <w:p w:rsidR="00DA116B" w:rsidRDefault="00DA116B">
      <w:pPr>
        <w:pStyle w:val="BodyText"/>
        <w:spacing w:before="10"/>
        <w:rPr>
          <w:b/>
          <w:sz w:val="19"/>
        </w:rPr>
      </w:pPr>
    </w:p>
    <w:p w:rsidR="00DA116B" w:rsidRDefault="00082553">
      <w:pPr>
        <w:ind w:left="2084" w:right="1902"/>
        <w:jc w:val="center"/>
        <w:rPr>
          <w:b/>
          <w:sz w:val="24"/>
        </w:rPr>
      </w:pPr>
      <w:r>
        <w:rPr>
          <w:b/>
          <w:sz w:val="24"/>
        </w:rPr>
        <w:t>RESOLUTION ADOPTING OREGON ETHICS LAW POLICY</w:t>
      </w:r>
    </w:p>
    <w:p w:rsidR="00DA116B" w:rsidRDefault="00DA116B">
      <w:pPr>
        <w:pStyle w:val="BodyText"/>
        <w:spacing w:before="10"/>
        <w:rPr>
          <w:b/>
          <w:sz w:val="15"/>
        </w:rPr>
      </w:pPr>
    </w:p>
    <w:p w:rsidR="00DA116B" w:rsidRDefault="00082553">
      <w:pPr>
        <w:spacing w:before="51"/>
        <w:ind w:left="120" w:right="145"/>
        <w:rPr>
          <w:b/>
          <w:sz w:val="24"/>
        </w:rPr>
      </w:pPr>
      <w:r>
        <w:rPr>
          <w:b/>
          <w:sz w:val="24"/>
        </w:rPr>
        <w:t>PURPOSE</w:t>
      </w:r>
    </w:p>
    <w:p w:rsidR="00DA116B" w:rsidRDefault="00DA116B">
      <w:pPr>
        <w:pStyle w:val="BodyText"/>
        <w:rPr>
          <w:b/>
          <w:sz w:val="20"/>
        </w:rPr>
      </w:pPr>
    </w:p>
    <w:p w:rsidR="00DA116B" w:rsidRDefault="00082553">
      <w:pPr>
        <w:spacing w:line="276" w:lineRule="auto"/>
        <w:ind w:left="120" w:right="145"/>
        <w:rPr>
          <w:sz w:val="24"/>
        </w:rPr>
      </w:pPr>
      <w:r>
        <w:rPr>
          <w:b/>
          <w:sz w:val="24"/>
        </w:rPr>
        <w:t xml:space="preserve">WHEREAS </w:t>
      </w:r>
      <w:r>
        <w:rPr>
          <w:sz w:val="24"/>
        </w:rPr>
        <w:t>the Port of Hood River Commission and staff are committed to practice the highest ethics standards; and</w:t>
      </w:r>
    </w:p>
    <w:p w:rsidR="00DA116B" w:rsidRDefault="00082553">
      <w:pPr>
        <w:spacing w:before="200" w:line="276" w:lineRule="auto"/>
        <w:ind w:left="120" w:right="161"/>
        <w:rPr>
          <w:sz w:val="24"/>
        </w:rPr>
      </w:pPr>
      <w:r>
        <w:rPr>
          <w:b/>
          <w:sz w:val="24"/>
        </w:rPr>
        <w:t xml:space="preserve">WHEREAS </w:t>
      </w:r>
      <w:r>
        <w:rPr>
          <w:sz w:val="24"/>
        </w:rPr>
        <w:t>the Port of Hood River participates in the Special Districts Insurance Services (SDIS) Best Practices program which provides an opportunity for special districts to earn an annual discount on insurance rates; and</w:t>
      </w:r>
    </w:p>
    <w:p w:rsidR="00DA116B" w:rsidRDefault="00082553">
      <w:pPr>
        <w:spacing w:before="198" w:line="278" w:lineRule="auto"/>
        <w:ind w:left="119" w:right="318"/>
        <w:rPr>
          <w:sz w:val="24"/>
        </w:rPr>
      </w:pPr>
      <w:r>
        <w:rPr>
          <w:b/>
          <w:sz w:val="24"/>
        </w:rPr>
        <w:t xml:space="preserve">WHEREAS </w:t>
      </w:r>
      <w:r>
        <w:rPr>
          <w:sz w:val="24"/>
        </w:rPr>
        <w:t>the SDIS Best Practices recommendat</w:t>
      </w:r>
      <w:r>
        <w:rPr>
          <w:sz w:val="24"/>
        </w:rPr>
        <w:t>ions for this year include the adoption of an Oregon Ethics Law Policy;</w:t>
      </w:r>
    </w:p>
    <w:p w:rsidR="00DA116B" w:rsidRDefault="00082553">
      <w:pPr>
        <w:spacing w:before="197" w:line="276" w:lineRule="auto"/>
        <w:ind w:left="119" w:right="93"/>
        <w:rPr>
          <w:sz w:val="24"/>
        </w:rPr>
      </w:pPr>
      <w:r>
        <w:rPr>
          <w:b/>
          <w:sz w:val="24"/>
        </w:rPr>
        <w:t xml:space="preserve">THEREFORE, BE IT RESOLVED </w:t>
      </w:r>
      <w:r>
        <w:rPr>
          <w:sz w:val="24"/>
        </w:rPr>
        <w:t>that the Port of Hood River Board of Commissioners hereby adopts the Oregon Ethics Law Policy attached as Exhibit A as the Port of Hood River Ethics Law Polic</w:t>
      </w:r>
      <w:r>
        <w:rPr>
          <w:sz w:val="24"/>
        </w:rPr>
        <w:t>y.</w:t>
      </w:r>
    </w:p>
    <w:p w:rsidR="00DA116B" w:rsidRDefault="00082553">
      <w:pPr>
        <w:spacing w:before="167" w:line="276" w:lineRule="auto"/>
        <w:ind w:left="120" w:right="145"/>
        <w:rPr>
          <w:sz w:val="24"/>
        </w:rPr>
      </w:pPr>
      <w:r>
        <w:rPr>
          <w:b/>
          <w:sz w:val="24"/>
        </w:rPr>
        <w:t xml:space="preserve">ADOPTED </w:t>
      </w:r>
      <w:r>
        <w:rPr>
          <w:sz w:val="24"/>
        </w:rPr>
        <w:t>by the Port of Hood River Board of Commissioners on this 20</w:t>
      </w:r>
      <w:proofErr w:type="spellStart"/>
      <w:r>
        <w:rPr>
          <w:position w:val="11"/>
          <w:sz w:val="16"/>
        </w:rPr>
        <w:t>th</w:t>
      </w:r>
      <w:proofErr w:type="spellEnd"/>
      <w:r>
        <w:rPr>
          <w:position w:val="11"/>
          <w:sz w:val="16"/>
        </w:rPr>
        <w:t xml:space="preserve"> </w:t>
      </w:r>
      <w:r>
        <w:rPr>
          <w:sz w:val="24"/>
        </w:rPr>
        <w:t xml:space="preserve">day of </w:t>
      </w:r>
      <w:proofErr w:type="gramStart"/>
      <w:r>
        <w:rPr>
          <w:sz w:val="24"/>
        </w:rPr>
        <w:t>September,</w:t>
      </w:r>
      <w:proofErr w:type="gramEnd"/>
      <w:r>
        <w:rPr>
          <w:sz w:val="24"/>
        </w:rPr>
        <w:t xml:space="preserve"> 2016.</w:t>
      </w:r>
    </w:p>
    <w:p w:rsidR="00DA116B" w:rsidRDefault="00DA116B">
      <w:pPr>
        <w:pStyle w:val="BodyText"/>
        <w:rPr>
          <w:sz w:val="20"/>
        </w:rPr>
      </w:pPr>
    </w:p>
    <w:p w:rsidR="00DA116B" w:rsidRDefault="005B58CB">
      <w:pPr>
        <w:pStyle w:val="BodyText"/>
        <w:spacing w:before="2"/>
        <w:rPr>
          <w:sz w:val="14"/>
        </w:rPr>
      </w:pPr>
      <w:r>
        <w:rPr>
          <w:noProof/>
        </w:rPr>
        <mc:AlternateContent>
          <mc:Choice Requires="wps">
            <w:drawing>
              <wp:anchor distT="0" distB="0" distL="0" distR="0" simplePos="0" relativeHeight="251655680" behindDoc="0" locked="0" layoutInCell="1" allowOverlap="1">
                <wp:simplePos x="0" y="0"/>
                <wp:positionH relativeFrom="page">
                  <wp:posOffset>914400</wp:posOffset>
                </wp:positionH>
                <wp:positionV relativeFrom="paragraph">
                  <wp:posOffset>139700</wp:posOffset>
                </wp:positionV>
                <wp:extent cx="2278380" cy="0"/>
                <wp:effectExtent l="9525" t="8255" r="7620" b="1079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7E96E" id="Line 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pt" to="25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E+EwIAACg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" strokeweight=".27489mm">
                <w10:wrap type="topAndBottom" anchorx="page"/>
              </v:line>
            </w:pict>
          </mc:Fallback>
        </mc:AlternateContent>
      </w:r>
    </w:p>
    <w:p w:rsidR="00DA116B" w:rsidRDefault="00DA116B">
      <w:pPr>
        <w:pStyle w:val="BodyText"/>
        <w:spacing w:before="2"/>
        <w:rPr>
          <w:sz w:val="15"/>
        </w:rPr>
      </w:pPr>
    </w:p>
    <w:p w:rsidR="00DA116B" w:rsidRDefault="00082553">
      <w:pPr>
        <w:spacing w:before="52"/>
        <w:ind w:left="120" w:right="145"/>
        <w:rPr>
          <w:sz w:val="24"/>
        </w:rPr>
      </w:pPr>
      <w:r>
        <w:rPr>
          <w:sz w:val="24"/>
        </w:rPr>
        <w:t>Brian Shortt, President</w:t>
      </w:r>
    </w:p>
    <w:p w:rsidR="00DA116B" w:rsidRDefault="00DA116B">
      <w:pPr>
        <w:pStyle w:val="BodyText"/>
        <w:rPr>
          <w:sz w:val="20"/>
        </w:rPr>
      </w:pPr>
    </w:p>
    <w:p w:rsidR="00DA116B" w:rsidRDefault="005B58CB">
      <w:pPr>
        <w:pStyle w:val="BodyText"/>
        <w:spacing w:before="9"/>
        <w:rPr>
          <w:sz w:val="17"/>
        </w:rPr>
      </w:pPr>
      <w:r>
        <w:rPr>
          <w:noProof/>
        </w:rPr>
        <mc:AlternateContent>
          <mc:Choice Requires="wps">
            <w:drawing>
              <wp:anchor distT="0" distB="0" distL="0" distR="0" simplePos="0" relativeHeight="251656704" behindDoc="0" locked="0" layoutInCell="1" allowOverlap="1">
                <wp:simplePos x="0" y="0"/>
                <wp:positionH relativeFrom="page">
                  <wp:posOffset>914400</wp:posOffset>
                </wp:positionH>
                <wp:positionV relativeFrom="paragraph">
                  <wp:posOffset>167640</wp:posOffset>
                </wp:positionV>
                <wp:extent cx="2278380" cy="0"/>
                <wp:effectExtent l="9525" t="13335" r="7620"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A43B"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251.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zwEwIAACg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" strokeweight=".27489mm">
                <w10:wrap type="topAndBottom" anchorx="page"/>
              </v:line>
            </w:pict>
          </mc:Fallback>
        </mc:AlternateContent>
      </w:r>
    </w:p>
    <w:p w:rsidR="00DA116B" w:rsidRDefault="00DA116B">
      <w:pPr>
        <w:pStyle w:val="BodyText"/>
        <w:rPr>
          <w:sz w:val="15"/>
        </w:rPr>
      </w:pPr>
    </w:p>
    <w:p w:rsidR="00DA116B" w:rsidRDefault="00082553">
      <w:pPr>
        <w:spacing w:before="51"/>
        <w:ind w:left="119" w:right="145"/>
        <w:rPr>
          <w:sz w:val="24"/>
        </w:rPr>
      </w:pPr>
      <w:r>
        <w:rPr>
          <w:sz w:val="24"/>
        </w:rPr>
        <w:t>Fred Duckwall, Vice President</w:t>
      </w:r>
    </w:p>
    <w:p w:rsidR="00DA116B" w:rsidRDefault="00DA116B">
      <w:pPr>
        <w:pStyle w:val="BodyText"/>
        <w:rPr>
          <w:sz w:val="20"/>
        </w:rPr>
      </w:pPr>
    </w:p>
    <w:p w:rsidR="00DA116B" w:rsidRDefault="005B58CB">
      <w:pPr>
        <w:pStyle w:val="BodyText"/>
        <w:spacing w:before="9"/>
        <w:rPr>
          <w:sz w:val="17"/>
        </w:rPr>
      </w:pPr>
      <w:r>
        <w:rPr>
          <w:noProof/>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167640</wp:posOffset>
                </wp:positionV>
                <wp:extent cx="2278380" cy="0"/>
                <wp:effectExtent l="9525" t="7620" r="7620" b="1143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BB4CC"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251.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R6EgIAACgEAAAOAAAAZHJzL2Uyb0RvYy54bWysU8GO2jAQvVfqP1i+QxJI2R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" strokeweight=".27489mm">
                <w10:wrap type="topAndBottom" anchorx="page"/>
              </v:line>
            </w:pict>
          </mc:Fallback>
        </mc:AlternateContent>
      </w:r>
    </w:p>
    <w:p w:rsidR="00DA116B" w:rsidRDefault="00DA116B">
      <w:pPr>
        <w:pStyle w:val="BodyText"/>
        <w:spacing w:before="2"/>
        <w:rPr>
          <w:sz w:val="15"/>
        </w:rPr>
      </w:pPr>
    </w:p>
    <w:p w:rsidR="00DA116B" w:rsidRDefault="00082553">
      <w:pPr>
        <w:spacing w:before="52"/>
        <w:ind w:left="119" w:right="145"/>
        <w:rPr>
          <w:sz w:val="24"/>
        </w:rPr>
      </w:pPr>
      <w:r>
        <w:rPr>
          <w:sz w:val="24"/>
        </w:rPr>
        <w:t>Jon Davies, Secretary</w:t>
      </w:r>
    </w:p>
    <w:p w:rsidR="00DA116B" w:rsidRDefault="00DA116B">
      <w:pPr>
        <w:pStyle w:val="BodyText"/>
        <w:rPr>
          <w:sz w:val="20"/>
        </w:rPr>
      </w:pPr>
    </w:p>
    <w:p w:rsidR="00DA116B" w:rsidRDefault="005B58CB">
      <w:pPr>
        <w:pStyle w:val="BodyText"/>
        <w:spacing w:before="7"/>
        <w:rPr>
          <w:sz w:val="17"/>
        </w:rPr>
      </w:pPr>
      <w:r>
        <w:rPr>
          <w:noProof/>
        </w:rPr>
        <mc:AlternateContent>
          <mc:Choice Requires="wps">
            <w:drawing>
              <wp:anchor distT="0" distB="0" distL="0" distR="0" simplePos="0" relativeHeight="251658752" behindDoc="0" locked="0" layoutInCell="1" allowOverlap="1">
                <wp:simplePos x="0" y="0"/>
                <wp:positionH relativeFrom="page">
                  <wp:posOffset>914400</wp:posOffset>
                </wp:positionH>
                <wp:positionV relativeFrom="paragraph">
                  <wp:posOffset>166370</wp:posOffset>
                </wp:positionV>
                <wp:extent cx="2278380" cy="0"/>
                <wp:effectExtent l="9525" t="12065" r="7620" b="698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C241C"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1pt" to="251.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" strokeweight=".27489mm">
                <w10:wrap type="topAndBottom" anchorx="page"/>
              </v:line>
            </w:pict>
          </mc:Fallback>
        </mc:AlternateContent>
      </w:r>
    </w:p>
    <w:p w:rsidR="00DA116B" w:rsidRDefault="00DA116B">
      <w:pPr>
        <w:pStyle w:val="BodyText"/>
        <w:spacing w:before="2"/>
        <w:rPr>
          <w:sz w:val="15"/>
        </w:rPr>
      </w:pPr>
    </w:p>
    <w:p w:rsidR="00DA116B" w:rsidRDefault="00082553">
      <w:pPr>
        <w:spacing w:before="52"/>
        <w:ind w:left="119" w:right="145"/>
        <w:rPr>
          <w:sz w:val="24"/>
        </w:rPr>
      </w:pPr>
      <w:r>
        <w:rPr>
          <w:sz w:val="24"/>
        </w:rPr>
        <w:t>Rich McBride, Treasurer</w:t>
      </w:r>
    </w:p>
    <w:p w:rsidR="00DA116B" w:rsidRDefault="00DA116B">
      <w:pPr>
        <w:pStyle w:val="BodyText"/>
        <w:rPr>
          <w:sz w:val="20"/>
        </w:rPr>
      </w:pPr>
    </w:p>
    <w:p w:rsidR="00DA116B" w:rsidRDefault="005B58CB">
      <w:pPr>
        <w:pStyle w:val="BodyText"/>
        <w:spacing w:before="9"/>
        <w:rPr>
          <w:sz w:val="17"/>
        </w:rPr>
      </w:pPr>
      <w:r>
        <w:rPr>
          <w:noProof/>
        </w:rPr>
        <mc:AlternateContent>
          <mc:Choice Requires="wps">
            <w:drawing>
              <wp:anchor distT="0" distB="0" distL="0" distR="0" simplePos="0" relativeHeight="251659776" behindDoc="0" locked="0" layoutInCell="1" allowOverlap="1">
                <wp:simplePos x="0" y="0"/>
                <wp:positionH relativeFrom="page">
                  <wp:posOffset>914400</wp:posOffset>
                </wp:positionH>
                <wp:positionV relativeFrom="paragraph">
                  <wp:posOffset>167640</wp:posOffset>
                </wp:positionV>
                <wp:extent cx="2278380" cy="0"/>
                <wp:effectExtent l="9525" t="9525" r="7620"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05FAE" id="Lin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251.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" strokeweight=".27489mm">
                <w10:wrap type="topAndBottom" anchorx="page"/>
              </v:line>
            </w:pict>
          </mc:Fallback>
        </mc:AlternateContent>
      </w:r>
    </w:p>
    <w:p w:rsidR="00DA116B" w:rsidRDefault="00DA116B">
      <w:pPr>
        <w:pStyle w:val="BodyText"/>
        <w:spacing w:before="2"/>
        <w:rPr>
          <w:sz w:val="15"/>
        </w:rPr>
      </w:pPr>
    </w:p>
    <w:p w:rsidR="00DA116B" w:rsidRDefault="00082553">
      <w:pPr>
        <w:spacing w:before="52"/>
        <w:ind w:left="119" w:right="145"/>
        <w:rPr>
          <w:sz w:val="24"/>
        </w:rPr>
      </w:pPr>
      <w:r>
        <w:rPr>
          <w:sz w:val="24"/>
        </w:rPr>
        <w:t>Hoby Streich, Commissioner</w:t>
      </w:r>
    </w:p>
    <w:p w:rsidR="00DA116B" w:rsidRDefault="00DA116B">
      <w:pPr>
        <w:rPr>
          <w:sz w:val="24"/>
        </w:rPr>
        <w:sectPr w:rsidR="00DA116B">
          <w:type w:val="continuous"/>
          <w:pgSz w:w="12240" w:h="15840"/>
          <w:pgMar w:top="1400" w:right="1500" w:bottom="280" w:left="1320" w:header="720" w:footer="720" w:gutter="0"/>
          <w:cols w:space="720"/>
        </w:sectPr>
      </w:pPr>
    </w:p>
    <w:p w:rsidR="00DA116B" w:rsidRDefault="00DA116B">
      <w:pPr>
        <w:pStyle w:val="BodyText"/>
        <w:spacing w:before="6"/>
        <w:rPr>
          <w:sz w:val="9"/>
        </w:rPr>
      </w:pPr>
    </w:p>
    <w:p w:rsidR="00DA116B" w:rsidRDefault="00082553">
      <w:pPr>
        <w:spacing w:before="51"/>
        <w:ind w:left="3920" w:right="3938"/>
        <w:jc w:val="center"/>
        <w:rPr>
          <w:b/>
          <w:sz w:val="24"/>
        </w:rPr>
      </w:pPr>
      <w:r>
        <w:rPr>
          <w:b/>
          <w:sz w:val="24"/>
        </w:rPr>
        <w:t>EXHIBIT A</w:t>
      </w:r>
    </w:p>
    <w:p w:rsidR="00DA116B" w:rsidRDefault="00082553">
      <w:pPr>
        <w:spacing w:before="2"/>
        <w:ind w:left="3192" w:right="763"/>
        <w:rPr>
          <w:b/>
          <w:sz w:val="24"/>
        </w:rPr>
      </w:pPr>
      <w:r>
        <w:rPr>
          <w:b/>
          <w:sz w:val="24"/>
        </w:rPr>
        <w:t>Oregon Ethics Law Policy</w:t>
      </w:r>
    </w:p>
    <w:p w:rsidR="00DA116B" w:rsidRDefault="00DA116B">
      <w:pPr>
        <w:pStyle w:val="BodyText"/>
        <w:spacing w:before="6"/>
        <w:rPr>
          <w:b/>
          <w:sz w:val="23"/>
        </w:rPr>
      </w:pPr>
    </w:p>
    <w:p w:rsidR="00DA116B" w:rsidRDefault="00082553">
      <w:pPr>
        <w:pStyle w:val="Heading2"/>
        <w:spacing w:before="1"/>
      </w:pPr>
      <w:r>
        <w:t>Overview</w:t>
      </w:r>
    </w:p>
    <w:p w:rsidR="00DA116B" w:rsidRDefault="00082553">
      <w:pPr>
        <w:pStyle w:val="BodyText"/>
        <w:spacing w:before="41"/>
        <w:ind w:left="119"/>
        <w:jc w:val="both"/>
      </w:pPr>
      <w:r>
        <w:t>Oregon Government Ethics Law</w:t>
      </w:r>
    </w:p>
    <w:p w:rsidR="00DA116B" w:rsidRDefault="00082553">
      <w:pPr>
        <w:pStyle w:val="ListParagraph"/>
        <w:numPr>
          <w:ilvl w:val="0"/>
          <w:numId w:val="2"/>
        </w:numPr>
        <w:tabs>
          <w:tab w:val="left" w:pos="840"/>
        </w:tabs>
        <w:spacing w:before="38"/>
        <w:rPr>
          <w:sz w:val="20"/>
        </w:rPr>
      </w:pPr>
      <w:r>
        <w:t>Applies</w:t>
      </w:r>
      <w:r>
        <w:rPr>
          <w:spacing w:val="-3"/>
        </w:rPr>
        <w:t xml:space="preserve"> </w:t>
      </w:r>
      <w:r>
        <w:t>to</w:t>
      </w:r>
      <w:r>
        <w:rPr>
          <w:spacing w:val="-4"/>
        </w:rPr>
        <w:t xml:space="preserve"> </w:t>
      </w:r>
      <w:r>
        <w:t>all</w:t>
      </w:r>
      <w:r>
        <w:rPr>
          <w:spacing w:val="-3"/>
        </w:rPr>
        <w:t xml:space="preserve"> </w:t>
      </w:r>
      <w:r>
        <w:t>elected</w:t>
      </w:r>
      <w:r>
        <w:rPr>
          <w:spacing w:val="-4"/>
        </w:rPr>
        <w:t xml:space="preserve"> </w:t>
      </w:r>
      <w:r>
        <w:t>and</w:t>
      </w:r>
      <w:r>
        <w:rPr>
          <w:spacing w:val="-4"/>
        </w:rPr>
        <w:t xml:space="preserve"> </w:t>
      </w:r>
      <w:r>
        <w:t>appointed</w:t>
      </w:r>
      <w:r>
        <w:rPr>
          <w:spacing w:val="-5"/>
        </w:rPr>
        <w:t xml:space="preserve"> </w:t>
      </w:r>
      <w:r>
        <w:t>officials,</w:t>
      </w:r>
      <w:r>
        <w:rPr>
          <w:spacing w:val="-5"/>
        </w:rPr>
        <w:t xml:space="preserve"> </w:t>
      </w:r>
      <w:r>
        <w:t>employees</w:t>
      </w:r>
      <w:r>
        <w:rPr>
          <w:spacing w:val="-3"/>
        </w:rPr>
        <w:t xml:space="preserve"> </w:t>
      </w:r>
      <w:r>
        <w:t>and</w:t>
      </w:r>
      <w:r>
        <w:rPr>
          <w:spacing w:val="-21"/>
        </w:rPr>
        <w:t xml:space="preserve"> </w:t>
      </w:r>
      <w:r>
        <w:t>volunteers</w:t>
      </w:r>
    </w:p>
    <w:p w:rsidR="00DA116B" w:rsidRDefault="00082553">
      <w:pPr>
        <w:pStyle w:val="ListParagraph"/>
        <w:numPr>
          <w:ilvl w:val="0"/>
          <w:numId w:val="2"/>
        </w:numPr>
        <w:tabs>
          <w:tab w:val="left" w:pos="840"/>
        </w:tabs>
        <w:spacing w:before="36"/>
        <w:rPr>
          <w:sz w:val="20"/>
        </w:rPr>
      </w:pPr>
      <w:r>
        <w:t>Prohibits use of public office for financial</w:t>
      </w:r>
      <w:r>
        <w:rPr>
          <w:spacing w:val="-36"/>
        </w:rPr>
        <w:t xml:space="preserve"> </w:t>
      </w:r>
      <w:r>
        <w:t>gain</w:t>
      </w:r>
    </w:p>
    <w:p w:rsidR="00DA116B" w:rsidRDefault="00082553">
      <w:pPr>
        <w:pStyle w:val="ListParagraph"/>
        <w:numPr>
          <w:ilvl w:val="0"/>
          <w:numId w:val="2"/>
        </w:numPr>
        <w:tabs>
          <w:tab w:val="left" w:pos="840"/>
        </w:tabs>
        <w:spacing w:before="41"/>
        <w:rPr>
          <w:sz w:val="20"/>
        </w:rPr>
      </w:pPr>
      <w:r>
        <w:t>Requires public disclosure of financial conflicts of</w:t>
      </w:r>
      <w:r>
        <w:rPr>
          <w:spacing w:val="-39"/>
        </w:rPr>
        <w:t xml:space="preserve"> </w:t>
      </w:r>
      <w:r>
        <w:t>interest</w:t>
      </w:r>
    </w:p>
    <w:p w:rsidR="00DA116B" w:rsidRDefault="00082553">
      <w:pPr>
        <w:pStyle w:val="ListParagraph"/>
        <w:numPr>
          <w:ilvl w:val="0"/>
          <w:numId w:val="2"/>
        </w:numPr>
        <w:tabs>
          <w:tab w:val="left" w:pos="840"/>
        </w:tabs>
        <w:spacing w:before="41"/>
        <w:rPr>
          <w:sz w:val="20"/>
        </w:rPr>
      </w:pPr>
      <w:r>
        <w:t>Limits</w:t>
      </w:r>
      <w:r>
        <w:rPr>
          <w:spacing w:val="-2"/>
        </w:rPr>
        <w:t xml:space="preserve"> </w:t>
      </w:r>
      <w:r>
        <w:t>gifts</w:t>
      </w:r>
      <w:r>
        <w:rPr>
          <w:spacing w:val="-4"/>
        </w:rPr>
        <w:t xml:space="preserve"> </w:t>
      </w:r>
      <w:r>
        <w:t>that</w:t>
      </w:r>
      <w:r>
        <w:rPr>
          <w:spacing w:val="-1"/>
        </w:rPr>
        <w:t xml:space="preserve"> </w:t>
      </w:r>
      <w:r>
        <w:t>an</w:t>
      </w:r>
      <w:r>
        <w:rPr>
          <w:spacing w:val="-5"/>
        </w:rPr>
        <w:t xml:space="preserve"> </w:t>
      </w:r>
      <w:r>
        <w:t>official</w:t>
      </w:r>
      <w:r>
        <w:rPr>
          <w:spacing w:val="-7"/>
        </w:rPr>
        <w:t xml:space="preserve"> </w:t>
      </w:r>
      <w:r>
        <w:t>may</w:t>
      </w:r>
      <w:r>
        <w:rPr>
          <w:spacing w:val="-3"/>
        </w:rPr>
        <w:t xml:space="preserve"> </w:t>
      </w:r>
      <w:r>
        <w:t>receive</w:t>
      </w:r>
      <w:r>
        <w:rPr>
          <w:spacing w:val="-1"/>
        </w:rPr>
        <w:t xml:space="preserve"> </w:t>
      </w:r>
      <w:r>
        <w:t>per</w:t>
      </w:r>
      <w:r>
        <w:rPr>
          <w:spacing w:val="-4"/>
        </w:rPr>
        <w:t xml:space="preserve"> </w:t>
      </w:r>
      <w:r>
        <w:t>calendar</w:t>
      </w:r>
      <w:r>
        <w:rPr>
          <w:spacing w:val="-17"/>
        </w:rPr>
        <w:t xml:space="preserve"> </w:t>
      </w:r>
      <w:r>
        <w:t>year</w:t>
      </w:r>
    </w:p>
    <w:p w:rsidR="00DA116B" w:rsidRDefault="00082553">
      <w:pPr>
        <w:pStyle w:val="ListParagraph"/>
        <w:numPr>
          <w:ilvl w:val="0"/>
          <w:numId w:val="2"/>
        </w:numPr>
        <w:tabs>
          <w:tab w:val="left" w:pos="840"/>
        </w:tabs>
        <w:spacing w:before="38"/>
        <w:rPr>
          <w:sz w:val="20"/>
        </w:rPr>
      </w:pPr>
      <w:r>
        <w:t>Found in Oregon Revised Statutes, Chapter</w:t>
      </w:r>
      <w:r>
        <w:rPr>
          <w:spacing w:val="-36"/>
        </w:rPr>
        <w:t xml:space="preserve"> </w:t>
      </w:r>
      <w:r>
        <w:t>244</w:t>
      </w:r>
    </w:p>
    <w:p w:rsidR="00DA116B" w:rsidRDefault="00DA116B">
      <w:pPr>
        <w:pStyle w:val="BodyText"/>
        <w:spacing w:before="4"/>
        <w:rPr>
          <w:sz w:val="25"/>
        </w:rPr>
      </w:pPr>
    </w:p>
    <w:p w:rsidR="00DA116B" w:rsidRDefault="00082553">
      <w:pPr>
        <w:pStyle w:val="Heading2"/>
      </w:pPr>
      <w:r>
        <w:t>Purpose</w:t>
      </w:r>
    </w:p>
    <w:p w:rsidR="00DA116B" w:rsidRDefault="00082553">
      <w:pPr>
        <w:pStyle w:val="BodyText"/>
        <w:spacing w:before="38"/>
        <w:ind w:left="120" w:right="763"/>
      </w:pPr>
      <w:r>
        <w:t>The purpose of this policy is to establish ethical standards of conduct for all district public officials in accordance with Oregon Government Ethics law.</w:t>
      </w:r>
    </w:p>
    <w:p w:rsidR="00DA116B" w:rsidRDefault="00DA116B">
      <w:pPr>
        <w:pStyle w:val="BodyText"/>
        <w:rPr>
          <w:sz w:val="24"/>
        </w:rPr>
      </w:pPr>
    </w:p>
    <w:p w:rsidR="00DA116B" w:rsidRDefault="00082553">
      <w:pPr>
        <w:pStyle w:val="Heading2"/>
      </w:pPr>
      <w:r>
        <w:t>Financial Gain</w:t>
      </w:r>
    </w:p>
    <w:p w:rsidR="00DA116B" w:rsidRDefault="00082553">
      <w:pPr>
        <w:pStyle w:val="BodyText"/>
        <w:spacing w:before="24"/>
        <w:ind w:left="120" w:right="108"/>
        <w:jc w:val="both"/>
      </w:pPr>
      <w:r>
        <w:t>Each public official is prohibited from using the position as a public official to re</w:t>
      </w:r>
      <w:r>
        <w:t>ceive certain financial benefits if the opportunity for the financial benefit would not otherwise be available but for the position held by the public official. In addition, each public official is prohibited from using or attempting to use the official po</w:t>
      </w:r>
      <w:r>
        <w:t>sition to obtain financial benefits for a relative or a member of the public official’s household, or for a business with which the public official, a relative, or a member of the public official’s household is</w:t>
      </w:r>
      <w:r>
        <w:rPr>
          <w:spacing w:val="-35"/>
        </w:rPr>
        <w:t xml:space="preserve"> </w:t>
      </w:r>
      <w:r>
        <w:t>associated.</w:t>
      </w:r>
    </w:p>
    <w:p w:rsidR="00DA116B" w:rsidRDefault="00DA116B">
      <w:pPr>
        <w:pStyle w:val="BodyText"/>
        <w:spacing w:before="10"/>
        <w:rPr>
          <w:sz w:val="21"/>
        </w:rPr>
      </w:pPr>
    </w:p>
    <w:p w:rsidR="00DA116B" w:rsidRDefault="00082553">
      <w:pPr>
        <w:pStyle w:val="BodyText"/>
        <w:ind w:left="120"/>
        <w:jc w:val="both"/>
      </w:pPr>
      <w:r>
        <w:t>The following is a list of financial benefits that may be received. These include:</w:t>
      </w:r>
    </w:p>
    <w:p w:rsidR="00DA116B" w:rsidRDefault="00082553">
      <w:pPr>
        <w:pStyle w:val="ListParagraph"/>
        <w:numPr>
          <w:ilvl w:val="0"/>
          <w:numId w:val="2"/>
        </w:numPr>
        <w:tabs>
          <w:tab w:val="left" w:pos="840"/>
        </w:tabs>
        <w:spacing w:line="279" w:lineRule="exact"/>
      </w:pPr>
      <w:r>
        <w:t>Official</w:t>
      </w:r>
      <w:r>
        <w:rPr>
          <w:spacing w:val="-15"/>
        </w:rPr>
        <w:t xml:space="preserve"> </w:t>
      </w:r>
      <w:r>
        <w:t>compensation</w:t>
      </w:r>
    </w:p>
    <w:p w:rsidR="00DA116B" w:rsidRDefault="00082553">
      <w:pPr>
        <w:pStyle w:val="ListParagraph"/>
        <w:numPr>
          <w:ilvl w:val="0"/>
          <w:numId w:val="2"/>
        </w:numPr>
        <w:tabs>
          <w:tab w:val="left" w:pos="840"/>
        </w:tabs>
        <w:spacing w:line="279" w:lineRule="exact"/>
      </w:pPr>
      <w:r>
        <w:t>Reimbursement of</w:t>
      </w:r>
      <w:r>
        <w:rPr>
          <w:spacing w:val="-15"/>
        </w:rPr>
        <w:t xml:space="preserve"> </w:t>
      </w:r>
      <w:r>
        <w:t>expenses</w:t>
      </w:r>
    </w:p>
    <w:p w:rsidR="00DA116B" w:rsidRDefault="00082553">
      <w:pPr>
        <w:pStyle w:val="ListParagraph"/>
        <w:numPr>
          <w:ilvl w:val="0"/>
          <w:numId w:val="2"/>
        </w:numPr>
        <w:tabs>
          <w:tab w:val="left" w:pos="840"/>
        </w:tabs>
      </w:pPr>
      <w:r>
        <w:t>Honorarium</w:t>
      </w:r>
    </w:p>
    <w:p w:rsidR="00DA116B" w:rsidRDefault="00082553">
      <w:pPr>
        <w:pStyle w:val="ListParagraph"/>
        <w:numPr>
          <w:ilvl w:val="0"/>
          <w:numId w:val="2"/>
        </w:numPr>
        <w:tabs>
          <w:tab w:val="left" w:pos="840"/>
        </w:tabs>
        <w:spacing w:before="5" w:line="279" w:lineRule="exact"/>
      </w:pPr>
      <w:r>
        <w:t>Unsolicited awards for professional</w:t>
      </w:r>
      <w:r>
        <w:rPr>
          <w:spacing w:val="-24"/>
        </w:rPr>
        <w:t xml:space="preserve"> </w:t>
      </w:r>
      <w:r>
        <w:t>achievement</w:t>
      </w:r>
    </w:p>
    <w:p w:rsidR="00DA116B" w:rsidRDefault="00082553">
      <w:pPr>
        <w:pStyle w:val="ListParagraph"/>
        <w:numPr>
          <w:ilvl w:val="0"/>
          <w:numId w:val="2"/>
        </w:numPr>
        <w:tabs>
          <w:tab w:val="left" w:pos="840"/>
        </w:tabs>
        <w:spacing w:line="279" w:lineRule="exact"/>
      </w:pPr>
      <w:r>
        <w:t>Some</w:t>
      </w:r>
      <w:r>
        <w:rPr>
          <w:spacing w:val="-3"/>
        </w:rPr>
        <w:t xml:space="preserve"> </w:t>
      </w:r>
      <w:r>
        <w:t>gifts</w:t>
      </w:r>
    </w:p>
    <w:p w:rsidR="00DA116B" w:rsidRDefault="00DA116B">
      <w:pPr>
        <w:pStyle w:val="BodyText"/>
        <w:spacing w:before="10"/>
        <w:rPr>
          <w:sz w:val="21"/>
        </w:rPr>
      </w:pPr>
    </w:p>
    <w:p w:rsidR="00DA116B" w:rsidRDefault="00082553">
      <w:pPr>
        <w:pStyle w:val="Heading2"/>
      </w:pPr>
      <w:r>
        <w:t>Gifts</w:t>
      </w:r>
    </w:p>
    <w:p w:rsidR="00DA116B" w:rsidRDefault="00082553">
      <w:pPr>
        <w:pStyle w:val="BodyText"/>
        <w:spacing w:before="24" w:line="266" w:lineRule="auto"/>
        <w:ind w:left="120" w:right="190"/>
        <w:jc w:val="both"/>
      </w:pPr>
      <w:r>
        <w:t xml:space="preserve">No public official shall solicit or receive any </w:t>
      </w:r>
      <w:r>
        <w:t xml:space="preserve">gift(s) with a total value of more than $50 from any </w:t>
      </w:r>
      <w:proofErr w:type="gramStart"/>
      <w:r>
        <w:t>single source</w:t>
      </w:r>
      <w:proofErr w:type="gramEnd"/>
      <w:r>
        <w:t xml:space="preserve"> who could reasonably be known to have a financial interest in the official actions of that public official. A gift is defined as something of value given to a public official, for which the</w:t>
      </w:r>
      <w:r>
        <w:t xml:space="preserve"> official does not pay an equal value. Gifts of entertainment are included in the $50 gift limit.</w:t>
      </w:r>
    </w:p>
    <w:p w:rsidR="00DA116B" w:rsidRDefault="00DA116B">
      <w:pPr>
        <w:pStyle w:val="BodyText"/>
        <w:spacing w:before="1"/>
        <w:rPr>
          <w:sz w:val="24"/>
        </w:rPr>
      </w:pPr>
    </w:p>
    <w:p w:rsidR="00DA116B" w:rsidRDefault="00082553">
      <w:pPr>
        <w:pStyle w:val="BodyText"/>
        <w:spacing w:line="264" w:lineRule="auto"/>
        <w:ind w:left="120" w:right="191"/>
      </w:pPr>
      <w:r>
        <w:t>This does not mean that an official cannot receive any gifts. The law only restricts gifts from sources that have an administrative or legislative interest i</w:t>
      </w:r>
      <w:r>
        <w:t xml:space="preserve">n the public official’s </w:t>
      </w:r>
      <w:proofErr w:type="gramStart"/>
      <w:r>
        <w:t>actions, and</w:t>
      </w:r>
      <w:proofErr w:type="gramEnd"/>
      <w:r>
        <w:t xml:space="preserve"> does allow the public official to receive up to $50 worth of gifts from each source. In addition, unlimited gifts may be accepted from a source that does not have a legislative or administrative interest in the public o</w:t>
      </w:r>
      <w:r>
        <w:t>fficial, and the public official may accept unlimited gifts from specified relatives.</w:t>
      </w:r>
    </w:p>
    <w:p w:rsidR="00DA116B" w:rsidRDefault="00DA116B">
      <w:pPr>
        <w:pStyle w:val="BodyText"/>
        <w:spacing w:before="1"/>
        <w:rPr>
          <w:sz w:val="24"/>
        </w:rPr>
      </w:pPr>
    </w:p>
    <w:p w:rsidR="00DA116B" w:rsidRDefault="00082553">
      <w:pPr>
        <w:pStyle w:val="Heading2"/>
        <w:spacing w:before="1"/>
      </w:pPr>
      <w:r>
        <w:t>Conflict of Interest</w:t>
      </w:r>
    </w:p>
    <w:p w:rsidR="00DA116B" w:rsidRDefault="00082553">
      <w:pPr>
        <w:pStyle w:val="BodyText"/>
        <w:spacing w:before="21"/>
        <w:ind w:left="119" w:right="398"/>
      </w:pPr>
      <w:r>
        <w:t>Oregon Government Ethics law identifies and defines two types of conflicts of interest: actual conflict of interest and potential conflict of intere</w:t>
      </w:r>
      <w:r>
        <w:t>st.</w:t>
      </w:r>
    </w:p>
    <w:p w:rsidR="00DA116B" w:rsidRDefault="00DA116B">
      <w:pPr>
        <w:sectPr w:rsidR="00DA116B">
          <w:pgSz w:w="12240" w:h="15840"/>
          <w:pgMar w:top="1500" w:right="1680" w:bottom="280" w:left="1680" w:header="720" w:footer="720" w:gutter="0"/>
          <w:cols w:space="720"/>
        </w:sectPr>
      </w:pPr>
    </w:p>
    <w:p w:rsidR="00DA116B" w:rsidRDefault="00DA116B">
      <w:pPr>
        <w:pStyle w:val="BodyText"/>
        <w:rPr>
          <w:sz w:val="12"/>
        </w:rPr>
      </w:pPr>
    </w:p>
    <w:p w:rsidR="00DA116B" w:rsidRDefault="00082553">
      <w:pPr>
        <w:pStyle w:val="BodyText"/>
        <w:spacing w:before="57"/>
        <w:ind w:left="120" w:right="116"/>
        <w:jc w:val="both"/>
      </w:pPr>
      <w:r>
        <w:t>The difference between an actual conflict of interest and a potential conflict of interest is determined by the words “would” and “could.”</w:t>
      </w:r>
    </w:p>
    <w:p w:rsidR="00DA116B" w:rsidRDefault="00DA116B">
      <w:pPr>
        <w:pStyle w:val="BodyText"/>
        <w:spacing w:before="10"/>
        <w:rPr>
          <w:sz w:val="21"/>
        </w:rPr>
      </w:pPr>
    </w:p>
    <w:p w:rsidR="00DA116B" w:rsidRDefault="00082553">
      <w:pPr>
        <w:pStyle w:val="BodyText"/>
        <w:ind w:left="119" w:right="110"/>
        <w:jc w:val="both"/>
      </w:pPr>
      <w:r>
        <w:t xml:space="preserve">A public official is met with an </w:t>
      </w:r>
      <w:r>
        <w:rPr>
          <w:b/>
        </w:rPr>
        <w:t xml:space="preserve">actual </w:t>
      </w:r>
      <w:r>
        <w:t xml:space="preserve">conflict of interest when the public official participates in action that </w:t>
      </w:r>
      <w:r>
        <w:rPr>
          <w:b/>
        </w:rPr>
        <w:t xml:space="preserve">would </w:t>
      </w:r>
      <w:r>
        <w:t>affect the financial interest of the official, the official’s relative or a business with which the official or a relative of the official is associated.</w:t>
      </w:r>
    </w:p>
    <w:p w:rsidR="00DA116B" w:rsidRDefault="00DA116B">
      <w:pPr>
        <w:pStyle w:val="BodyText"/>
      </w:pPr>
    </w:p>
    <w:p w:rsidR="00DA116B" w:rsidRDefault="00082553">
      <w:pPr>
        <w:pStyle w:val="BodyText"/>
        <w:ind w:left="120" w:right="110"/>
        <w:jc w:val="both"/>
      </w:pPr>
      <w:r>
        <w:t xml:space="preserve">A public official is </w:t>
      </w:r>
      <w:r>
        <w:t xml:space="preserve">met with a </w:t>
      </w:r>
      <w:r>
        <w:rPr>
          <w:b/>
        </w:rPr>
        <w:t xml:space="preserve">potential </w:t>
      </w:r>
      <w:r>
        <w:t xml:space="preserve">conflict of interest when the public official participates in action that </w:t>
      </w:r>
      <w:r>
        <w:rPr>
          <w:b/>
        </w:rPr>
        <w:t xml:space="preserve">could </w:t>
      </w:r>
      <w:r>
        <w:t xml:space="preserve">affect the financial interest of the official, a relative of that </w:t>
      </w:r>
      <w:proofErr w:type="gramStart"/>
      <w:r>
        <w:t>official  or</w:t>
      </w:r>
      <w:proofErr w:type="gramEnd"/>
      <w:r>
        <w:t xml:space="preserve">  a business with which the official or the relative of that official is asso</w:t>
      </w:r>
      <w:r>
        <w:t>ciated.</w:t>
      </w:r>
    </w:p>
    <w:p w:rsidR="00DA116B" w:rsidRDefault="00DA116B">
      <w:pPr>
        <w:pStyle w:val="BodyText"/>
        <w:spacing w:before="10"/>
        <w:rPr>
          <w:sz w:val="21"/>
        </w:rPr>
      </w:pPr>
    </w:p>
    <w:p w:rsidR="00DA116B" w:rsidRDefault="00082553">
      <w:pPr>
        <w:pStyle w:val="BodyText"/>
        <w:ind w:left="120" w:right="586"/>
      </w:pPr>
      <w:r>
        <w:t>A public official must announce or disclose the nature of a conflict of interest. The way the disclosure is made depends on the position held. The following public officials must use the methods described below:</w:t>
      </w:r>
    </w:p>
    <w:p w:rsidR="00DA116B" w:rsidRDefault="00DA116B">
      <w:pPr>
        <w:pStyle w:val="BodyText"/>
        <w:spacing w:before="11"/>
        <w:rPr>
          <w:sz w:val="21"/>
        </w:rPr>
      </w:pPr>
    </w:p>
    <w:p w:rsidR="00DA116B" w:rsidRDefault="00082553">
      <w:pPr>
        <w:pStyle w:val="ListParagraph"/>
        <w:numPr>
          <w:ilvl w:val="0"/>
          <w:numId w:val="1"/>
        </w:numPr>
        <w:tabs>
          <w:tab w:val="left" w:pos="481"/>
        </w:tabs>
        <w:ind w:right="114" w:hanging="360"/>
        <w:jc w:val="both"/>
      </w:pPr>
      <w:r>
        <w:rPr>
          <w:u w:val="single"/>
        </w:rPr>
        <w:t>Potential Conflict of Interest</w:t>
      </w:r>
      <w:r>
        <w:t>: Fo</w:t>
      </w:r>
      <w:r>
        <w:t>llowing the public announcement, the public official may participate</w:t>
      </w:r>
      <w:r>
        <w:rPr>
          <w:spacing w:val="-1"/>
        </w:rPr>
        <w:t xml:space="preserve"> </w:t>
      </w:r>
      <w:r>
        <w:t>in</w:t>
      </w:r>
      <w:r>
        <w:rPr>
          <w:spacing w:val="-5"/>
        </w:rPr>
        <w:t xml:space="preserve"> </w:t>
      </w:r>
      <w:r>
        <w:t>official</w:t>
      </w:r>
      <w:r>
        <w:rPr>
          <w:spacing w:val="-4"/>
        </w:rPr>
        <w:t xml:space="preserve"> </w:t>
      </w:r>
      <w:r>
        <w:t>action</w:t>
      </w:r>
      <w:r>
        <w:rPr>
          <w:spacing w:val="-5"/>
        </w:rPr>
        <w:t xml:space="preserve"> </w:t>
      </w:r>
      <w:r>
        <w:t>on</w:t>
      </w:r>
      <w:r>
        <w:rPr>
          <w:spacing w:val="-3"/>
        </w:rPr>
        <w:t xml:space="preserve"> </w:t>
      </w:r>
      <w:r>
        <w:t>the</w:t>
      </w:r>
      <w:r>
        <w:rPr>
          <w:spacing w:val="-1"/>
        </w:rPr>
        <w:t xml:space="preserve"> </w:t>
      </w:r>
      <w:r>
        <w:t>issue</w:t>
      </w:r>
      <w:r>
        <w:rPr>
          <w:spacing w:val="-4"/>
        </w:rPr>
        <w:t xml:space="preserve"> </w:t>
      </w:r>
      <w:r>
        <w:t>that</w:t>
      </w:r>
      <w:r>
        <w:rPr>
          <w:spacing w:val="-1"/>
        </w:rPr>
        <w:t xml:space="preserve"> </w:t>
      </w:r>
      <w:r>
        <w:t>gave</w:t>
      </w:r>
      <w:r>
        <w:rPr>
          <w:spacing w:val="-4"/>
        </w:rPr>
        <w:t xml:space="preserve"> </w:t>
      </w:r>
      <w:r>
        <w:t>rise</w:t>
      </w:r>
      <w:r>
        <w:rPr>
          <w:spacing w:val="-4"/>
        </w:rPr>
        <w:t xml:space="preserve"> </w:t>
      </w:r>
      <w:r>
        <w:t>to</w:t>
      </w:r>
      <w:r>
        <w:rPr>
          <w:spacing w:val="-3"/>
        </w:rPr>
        <w:t xml:space="preserve"> </w:t>
      </w:r>
      <w:r>
        <w:t>the</w:t>
      </w:r>
      <w:r>
        <w:rPr>
          <w:spacing w:val="-1"/>
        </w:rPr>
        <w:t xml:space="preserve"> </w:t>
      </w:r>
      <w:r>
        <w:t>conflict</w:t>
      </w:r>
      <w:r>
        <w:rPr>
          <w:spacing w:val="-4"/>
        </w:rPr>
        <w:t xml:space="preserve"> </w:t>
      </w:r>
      <w:r>
        <w:t>of</w:t>
      </w:r>
      <w:r>
        <w:rPr>
          <w:spacing w:val="-24"/>
        </w:rPr>
        <w:t xml:space="preserve"> </w:t>
      </w:r>
      <w:r>
        <w:t>interest.</w:t>
      </w:r>
    </w:p>
    <w:p w:rsidR="00DA116B" w:rsidRDefault="00DA116B">
      <w:pPr>
        <w:pStyle w:val="BodyText"/>
      </w:pPr>
    </w:p>
    <w:p w:rsidR="00DA116B" w:rsidRDefault="00082553">
      <w:pPr>
        <w:pStyle w:val="ListParagraph"/>
        <w:numPr>
          <w:ilvl w:val="0"/>
          <w:numId w:val="1"/>
        </w:numPr>
        <w:tabs>
          <w:tab w:val="left" w:pos="481"/>
        </w:tabs>
        <w:spacing w:before="1"/>
        <w:ind w:right="113" w:hanging="360"/>
        <w:jc w:val="both"/>
      </w:pPr>
      <w:r>
        <w:rPr>
          <w:u w:val="single"/>
        </w:rPr>
        <w:t>Actual Conflict of Interest</w:t>
      </w:r>
      <w:r>
        <w:t>: Following the public announcement, the public official must refrain from further participation in official action on the issue that gave rise to the conflict of</w:t>
      </w:r>
      <w:r>
        <w:rPr>
          <w:spacing w:val="-1"/>
        </w:rPr>
        <w:t xml:space="preserve"> </w:t>
      </w:r>
      <w:r>
        <w:t>interest.</w:t>
      </w:r>
    </w:p>
    <w:p w:rsidR="00DA116B" w:rsidRDefault="00DA116B">
      <w:pPr>
        <w:pStyle w:val="BodyText"/>
        <w:spacing w:before="10"/>
        <w:rPr>
          <w:sz w:val="21"/>
        </w:rPr>
      </w:pPr>
    </w:p>
    <w:p w:rsidR="00DA116B" w:rsidRDefault="00082553">
      <w:pPr>
        <w:pStyle w:val="BodyText"/>
        <w:ind w:left="120" w:right="107"/>
        <w:jc w:val="both"/>
      </w:pPr>
      <w:r>
        <w:t>If a public official is met with an actual conflict of interest and the public off</w:t>
      </w:r>
      <w:r>
        <w:t xml:space="preserve">icial’s vote is necessary to meet the minimum number of votes required for official action, the public official may vote. The public official must make the required announcement and refrain from any </w:t>
      </w:r>
      <w:proofErr w:type="gramStart"/>
      <w:r>
        <w:t>discussion, but</w:t>
      </w:r>
      <w:proofErr w:type="gramEnd"/>
      <w:r>
        <w:t xml:space="preserve"> may participate in the vote required for </w:t>
      </w:r>
      <w:r>
        <w:t>official action by the governing body. These circumstances do not often occur. This provision does not apply in situations where there are insufficient votes because of a member’s absence when the governing body is convened. Rather, it applies in circumsta</w:t>
      </w:r>
      <w:r>
        <w:t xml:space="preserve">nces when </w:t>
      </w:r>
      <w:r>
        <w:rPr>
          <w:u w:val="single"/>
        </w:rPr>
        <w:t xml:space="preserve">all members of the governing body are present </w:t>
      </w:r>
      <w:r>
        <w:t>and the number of members who must refrain due to actual conflicts of interest make it impossible for the governing body to take official action.</w:t>
      </w:r>
    </w:p>
    <w:sectPr w:rsidR="00DA116B">
      <w:pgSz w:w="12240" w:h="15840"/>
      <w:pgMar w:top="15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A9A"/>
    <w:multiLevelType w:val="hybridMultilevel"/>
    <w:tmpl w:val="B8ECA69C"/>
    <w:lvl w:ilvl="0" w:tplc="51465F96">
      <w:start w:val="1"/>
      <w:numFmt w:val="bullet"/>
      <w:lvlText w:val=""/>
      <w:lvlJc w:val="left"/>
      <w:pPr>
        <w:ind w:left="480" w:hanging="361"/>
      </w:pPr>
      <w:rPr>
        <w:rFonts w:ascii="Symbol" w:eastAsia="Symbol" w:hAnsi="Symbol" w:cs="Symbol" w:hint="default"/>
        <w:w w:val="100"/>
        <w:sz w:val="22"/>
        <w:szCs w:val="22"/>
      </w:rPr>
    </w:lvl>
    <w:lvl w:ilvl="1" w:tplc="69044CFE">
      <w:start w:val="1"/>
      <w:numFmt w:val="bullet"/>
      <w:lvlText w:val="•"/>
      <w:lvlJc w:val="left"/>
      <w:pPr>
        <w:ind w:left="1320" w:hanging="361"/>
      </w:pPr>
      <w:rPr>
        <w:rFonts w:hint="default"/>
      </w:rPr>
    </w:lvl>
    <w:lvl w:ilvl="2" w:tplc="3A04FE44">
      <w:start w:val="1"/>
      <w:numFmt w:val="bullet"/>
      <w:lvlText w:val="•"/>
      <w:lvlJc w:val="left"/>
      <w:pPr>
        <w:ind w:left="2160" w:hanging="361"/>
      </w:pPr>
      <w:rPr>
        <w:rFonts w:hint="default"/>
      </w:rPr>
    </w:lvl>
    <w:lvl w:ilvl="3" w:tplc="1666C664">
      <w:start w:val="1"/>
      <w:numFmt w:val="bullet"/>
      <w:lvlText w:val="•"/>
      <w:lvlJc w:val="left"/>
      <w:pPr>
        <w:ind w:left="3000" w:hanging="361"/>
      </w:pPr>
      <w:rPr>
        <w:rFonts w:hint="default"/>
      </w:rPr>
    </w:lvl>
    <w:lvl w:ilvl="4" w:tplc="5CDAAEFE">
      <w:start w:val="1"/>
      <w:numFmt w:val="bullet"/>
      <w:lvlText w:val="•"/>
      <w:lvlJc w:val="left"/>
      <w:pPr>
        <w:ind w:left="3840" w:hanging="361"/>
      </w:pPr>
      <w:rPr>
        <w:rFonts w:hint="default"/>
      </w:rPr>
    </w:lvl>
    <w:lvl w:ilvl="5" w:tplc="B17C6C46">
      <w:start w:val="1"/>
      <w:numFmt w:val="bullet"/>
      <w:lvlText w:val="•"/>
      <w:lvlJc w:val="left"/>
      <w:pPr>
        <w:ind w:left="4680" w:hanging="361"/>
      </w:pPr>
      <w:rPr>
        <w:rFonts w:hint="default"/>
      </w:rPr>
    </w:lvl>
    <w:lvl w:ilvl="6" w:tplc="51AA60F6">
      <w:start w:val="1"/>
      <w:numFmt w:val="bullet"/>
      <w:lvlText w:val="•"/>
      <w:lvlJc w:val="left"/>
      <w:pPr>
        <w:ind w:left="5520" w:hanging="361"/>
      </w:pPr>
      <w:rPr>
        <w:rFonts w:hint="default"/>
      </w:rPr>
    </w:lvl>
    <w:lvl w:ilvl="7" w:tplc="18306EFC">
      <w:start w:val="1"/>
      <w:numFmt w:val="bullet"/>
      <w:lvlText w:val="•"/>
      <w:lvlJc w:val="left"/>
      <w:pPr>
        <w:ind w:left="6360" w:hanging="361"/>
      </w:pPr>
      <w:rPr>
        <w:rFonts w:hint="default"/>
      </w:rPr>
    </w:lvl>
    <w:lvl w:ilvl="8" w:tplc="3E1AD75E">
      <w:start w:val="1"/>
      <w:numFmt w:val="bullet"/>
      <w:lvlText w:val="•"/>
      <w:lvlJc w:val="left"/>
      <w:pPr>
        <w:ind w:left="7200" w:hanging="361"/>
      </w:pPr>
      <w:rPr>
        <w:rFonts w:hint="default"/>
      </w:rPr>
    </w:lvl>
  </w:abstractNum>
  <w:abstractNum w:abstractNumId="1" w15:restartNumberingAfterBreak="0">
    <w:nsid w:val="5D2113F0"/>
    <w:multiLevelType w:val="hybridMultilevel"/>
    <w:tmpl w:val="3F669C82"/>
    <w:lvl w:ilvl="0" w:tplc="98CC7858">
      <w:start w:val="1"/>
      <w:numFmt w:val="bullet"/>
      <w:lvlText w:val=""/>
      <w:lvlJc w:val="left"/>
      <w:pPr>
        <w:ind w:left="840" w:hanging="360"/>
      </w:pPr>
      <w:rPr>
        <w:rFonts w:ascii="Symbol" w:eastAsia="Symbol" w:hAnsi="Symbol" w:cs="Symbol" w:hint="default"/>
        <w:w w:val="97"/>
      </w:rPr>
    </w:lvl>
    <w:lvl w:ilvl="1" w:tplc="4B7AF64E">
      <w:start w:val="1"/>
      <w:numFmt w:val="bullet"/>
      <w:lvlText w:val="•"/>
      <w:lvlJc w:val="left"/>
      <w:pPr>
        <w:ind w:left="1644" w:hanging="360"/>
      </w:pPr>
      <w:rPr>
        <w:rFonts w:hint="default"/>
      </w:rPr>
    </w:lvl>
    <w:lvl w:ilvl="2" w:tplc="A7E6D780">
      <w:start w:val="1"/>
      <w:numFmt w:val="bullet"/>
      <w:lvlText w:val="•"/>
      <w:lvlJc w:val="left"/>
      <w:pPr>
        <w:ind w:left="2448" w:hanging="360"/>
      </w:pPr>
      <w:rPr>
        <w:rFonts w:hint="default"/>
      </w:rPr>
    </w:lvl>
    <w:lvl w:ilvl="3" w:tplc="CB646FDA">
      <w:start w:val="1"/>
      <w:numFmt w:val="bullet"/>
      <w:lvlText w:val="•"/>
      <w:lvlJc w:val="left"/>
      <w:pPr>
        <w:ind w:left="3252" w:hanging="360"/>
      </w:pPr>
      <w:rPr>
        <w:rFonts w:hint="default"/>
      </w:rPr>
    </w:lvl>
    <w:lvl w:ilvl="4" w:tplc="5BB831B0">
      <w:start w:val="1"/>
      <w:numFmt w:val="bullet"/>
      <w:lvlText w:val="•"/>
      <w:lvlJc w:val="left"/>
      <w:pPr>
        <w:ind w:left="4056" w:hanging="360"/>
      </w:pPr>
      <w:rPr>
        <w:rFonts w:hint="default"/>
      </w:rPr>
    </w:lvl>
    <w:lvl w:ilvl="5" w:tplc="7DA21FFA">
      <w:start w:val="1"/>
      <w:numFmt w:val="bullet"/>
      <w:lvlText w:val="•"/>
      <w:lvlJc w:val="left"/>
      <w:pPr>
        <w:ind w:left="4860" w:hanging="360"/>
      </w:pPr>
      <w:rPr>
        <w:rFonts w:hint="default"/>
      </w:rPr>
    </w:lvl>
    <w:lvl w:ilvl="6" w:tplc="348A1CC6">
      <w:start w:val="1"/>
      <w:numFmt w:val="bullet"/>
      <w:lvlText w:val="•"/>
      <w:lvlJc w:val="left"/>
      <w:pPr>
        <w:ind w:left="5664" w:hanging="360"/>
      </w:pPr>
      <w:rPr>
        <w:rFonts w:hint="default"/>
      </w:rPr>
    </w:lvl>
    <w:lvl w:ilvl="7" w:tplc="548CF0E2">
      <w:start w:val="1"/>
      <w:numFmt w:val="bullet"/>
      <w:lvlText w:val="•"/>
      <w:lvlJc w:val="left"/>
      <w:pPr>
        <w:ind w:left="6468" w:hanging="360"/>
      </w:pPr>
      <w:rPr>
        <w:rFonts w:hint="default"/>
      </w:rPr>
    </w:lvl>
    <w:lvl w:ilvl="8" w:tplc="CEC04D84">
      <w:start w:val="1"/>
      <w:numFmt w:val="bullet"/>
      <w:lvlText w:val="•"/>
      <w:lvlJc w:val="left"/>
      <w:pPr>
        <w:ind w:left="727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6B"/>
    <w:rsid w:val="00082553"/>
    <w:rsid w:val="005B58CB"/>
    <w:rsid w:val="00DA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84CFA40-C609-44CB-A31B-EAE70AF8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right="1902"/>
      <w:jc w:val="center"/>
      <w:outlineLvl w:val="0"/>
    </w:pPr>
    <w:rPr>
      <w:b/>
      <w:bCs/>
      <w:sz w:val="24"/>
      <w:szCs w:val="24"/>
    </w:rPr>
  </w:style>
  <w:style w:type="paragraph" w:styleId="Heading2">
    <w:name w:val="heading 2"/>
    <w:basedOn w:val="Normal"/>
    <w:uiPriority w:val="1"/>
    <w:qFormat/>
    <w:pPr>
      <w:ind w:left="1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Genevieve Scholl</cp:lastModifiedBy>
  <cp:revision>2</cp:revision>
  <dcterms:created xsi:type="dcterms:W3CDTF">2018-10-25T20:33:00Z</dcterms:created>
  <dcterms:modified xsi:type="dcterms:W3CDTF">2018-10-25T20:33:00Z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Adobe Acrobat Pro DC 15.17.20053</vt:lpwstr>
  </property>
  <property fmtid="{D5CDD505-2E9C-101B-9397-08002B2CF9AE}" pid="4" name="LastSaved">
    <vt:filetime>2016-09-16T00:00:00Z</vt:filetime>
  </property>
</Properties>
</file>